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9AD4F" w14:textId="09BBC3F4" w:rsidR="00CD7134" w:rsidRPr="001A2FC3" w:rsidRDefault="001A2FC3" w:rsidP="001A2FC3">
      <w:pPr>
        <w:pStyle w:val="Heading1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2"/>
          <w:szCs w:val="22"/>
        </w:rPr>
        <w:t>Check-list des supports (matériel) de form</w:t>
      </w:r>
      <w:bookmarkStart w:id="0" w:name="_GoBack"/>
      <w:bookmarkEnd w:id="0"/>
      <w:r>
        <w:rPr>
          <w:rFonts w:asciiTheme="minorHAnsi" w:hAnsiTheme="minorHAnsi"/>
          <w:b/>
          <w:sz w:val="22"/>
          <w:szCs w:val="22"/>
        </w:rPr>
        <w:t>ation</w:t>
      </w:r>
      <w:r w:rsidRPr="001A2FC3">
        <w:rPr>
          <w:rStyle w:val="FootnoteReference"/>
          <w:rFonts w:asciiTheme="minorHAnsi" w:hAnsiTheme="minorHAnsi"/>
          <w:b/>
          <w:sz w:val="22"/>
          <w:szCs w:val="22"/>
        </w:rPr>
        <w:footnoteReference w:id="1"/>
      </w:r>
    </w:p>
    <w:p w14:paraId="1137EEEF" w14:textId="77777777" w:rsidR="00BF4C89" w:rsidRPr="00AB7529" w:rsidRDefault="00BF4C89" w:rsidP="00BF4C89">
      <w:pPr>
        <w:jc w:val="center"/>
        <w:rPr>
          <w:b/>
        </w:rPr>
      </w:pPr>
    </w:p>
    <w:p w14:paraId="27D3D22F" w14:textId="77777777" w:rsidR="001718D0" w:rsidRPr="00AB7529" w:rsidRDefault="001718D0" w:rsidP="001718D0">
      <w:pPr>
        <w:pStyle w:val="ListParagraph"/>
        <w:numPr>
          <w:ilvl w:val="0"/>
          <w:numId w:val="1"/>
        </w:numPr>
      </w:pPr>
      <w:r>
        <w:t xml:space="preserve">Projecteur, ordinateur portable, enceintes </w:t>
      </w:r>
    </w:p>
    <w:p w14:paraId="04332B05" w14:textId="77777777" w:rsidR="001718D0" w:rsidRDefault="001718D0" w:rsidP="001718D0">
      <w:pPr>
        <w:pStyle w:val="ListParagraph"/>
        <w:numPr>
          <w:ilvl w:val="0"/>
          <w:numId w:val="1"/>
        </w:numPr>
      </w:pPr>
      <w:r>
        <w:t>Supports pour flip charts (au moins 2), plusieurs blocs de papier pour flip charts</w:t>
      </w:r>
    </w:p>
    <w:p w14:paraId="3A061F68" w14:textId="77777777" w:rsidR="001718D0" w:rsidRPr="00AB7529" w:rsidRDefault="001718D0" w:rsidP="001718D0">
      <w:pPr>
        <w:pStyle w:val="ListParagraph"/>
        <w:numPr>
          <w:ilvl w:val="0"/>
          <w:numId w:val="1"/>
        </w:numPr>
      </w:pPr>
      <w:r>
        <w:t xml:space="preserve">Feuilles de papier de plusieurs couleurs </w:t>
      </w:r>
    </w:p>
    <w:p w14:paraId="17EFA24A" w14:textId="77777777" w:rsidR="001718D0" w:rsidRPr="00AB7529" w:rsidRDefault="001718D0" w:rsidP="001718D0">
      <w:pPr>
        <w:pStyle w:val="ListParagraph"/>
        <w:numPr>
          <w:ilvl w:val="0"/>
          <w:numId w:val="1"/>
        </w:numPr>
      </w:pPr>
      <w:r>
        <w:t>4 à 6 paquets de marqueurs de couleurs</w:t>
      </w:r>
    </w:p>
    <w:p w14:paraId="5F31ABA0" w14:textId="77777777" w:rsidR="001718D0" w:rsidRPr="00AB7529" w:rsidRDefault="001718D0" w:rsidP="001718D0">
      <w:pPr>
        <w:pStyle w:val="ListParagraph"/>
        <w:numPr>
          <w:ilvl w:val="0"/>
          <w:numId w:val="1"/>
        </w:numPr>
      </w:pPr>
      <w:r>
        <w:t>Ruban adhésif et/ou patafix</w:t>
      </w:r>
    </w:p>
    <w:p w14:paraId="0F92028D" w14:textId="77777777" w:rsidR="001718D0" w:rsidRPr="00AB7529" w:rsidRDefault="001718D0" w:rsidP="001718D0">
      <w:pPr>
        <w:pStyle w:val="ListParagraph"/>
        <w:numPr>
          <w:ilvl w:val="0"/>
          <w:numId w:val="1"/>
        </w:numPr>
      </w:pPr>
      <w:r>
        <w:t xml:space="preserve">Étiquettes pour les noms </w:t>
      </w:r>
    </w:p>
    <w:p w14:paraId="6F78A480" w14:textId="77777777" w:rsidR="001718D0" w:rsidRPr="00AB7529" w:rsidRDefault="001718D0" w:rsidP="001718D0">
      <w:pPr>
        <w:pStyle w:val="ListParagraph"/>
        <w:numPr>
          <w:ilvl w:val="0"/>
          <w:numId w:val="1"/>
        </w:numPr>
      </w:pPr>
      <w:r>
        <w:t>Stylos et cahiers pour chaque participant</w:t>
      </w:r>
    </w:p>
    <w:p w14:paraId="024BB512" w14:textId="77777777" w:rsidR="001718D0" w:rsidRPr="00AB7529" w:rsidRDefault="001718D0" w:rsidP="001718D0">
      <w:pPr>
        <w:pStyle w:val="ListParagraph"/>
        <w:numPr>
          <w:ilvl w:val="0"/>
          <w:numId w:val="1"/>
        </w:numPr>
      </w:pPr>
      <w:r>
        <w:t>Classeurs ou dossiers pour chaque participant</w:t>
      </w:r>
    </w:p>
    <w:p w14:paraId="2D6E1CAD" w14:textId="77777777" w:rsidR="001718D0" w:rsidRDefault="001718D0" w:rsidP="001718D0">
      <w:pPr>
        <w:pStyle w:val="ListParagraph"/>
        <w:numPr>
          <w:ilvl w:val="0"/>
          <w:numId w:val="1"/>
        </w:numPr>
      </w:pPr>
      <w:r>
        <w:t>Trombones</w:t>
      </w:r>
    </w:p>
    <w:p w14:paraId="744EE7F9" w14:textId="77777777" w:rsidR="001718D0" w:rsidRPr="00AB7529" w:rsidRDefault="001718D0" w:rsidP="001718D0">
      <w:pPr>
        <w:pStyle w:val="ListParagraph"/>
        <w:numPr>
          <w:ilvl w:val="0"/>
          <w:numId w:val="1"/>
        </w:numPr>
      </w:pPr>
      <w:r>
        <w:t xml:space="preserve">Agrafeuse et agrafes </w:t>
      </w:r>
    </w:p>
    <w:p w14:paraId="1226251C" w14:textId="77777777" w:rsidR="001718D0" w:rsidRDefault="001718D0" w:rsidP="001718D0">
      <w:pPr>
        <w:pStyle w:val="ListParagraph"/>
        <w:numPr>
          <w:ilvl w:val="0"/>
          <w:numId w:val="1"/>
        </w:numPr>
      </w:pPr>
      <w:r>
        <w:t xml:space="preserve">Post-it de formes et de couleurs intéressantes </w:t>
      </w:r>
    </w:p>
    <w:p w14:paraId="5C6A5B24" w14:textId="77777777" w:rsidR="001718D0" w:rsidRDefault="001718D0" w:rsidP="001718D0">
      <w:pPr>
        <w:pStyle w:val="ListParagraph"/>
        <w:numPr>
          <w:ilvl w:val="0"/>
          <w:numId w:val="1"/>
        </w:numPr>
      </w:pPr>
      <w:r>
        <w:t>3 paquets de fiches cartonnées</w:t>
      </w:r>
    </w:p>
    <w:p w14:paraId="77376837" w14:textId="77777777" w:rsidR="001718D0" w:rsidRDefault="001718D0" w:rsidP="001718D0">
      <w:pPr>
        <w:pStyle w:val="ListParagraph"/>
        <w:numPr>
          <w:ilvl w:val="0"/>
          <w:numId w:val="1"/>
        </w:numPr>
      </w:pPr>
      <w:r>
        <w:t>1 petite balle en mousse</w:t>
      </w:r>
    </w:p>
    <w:p w14:paraId="23A5F4A7" w14:textId="77777777" w:rsidR="001718D0" w:rsidRDefault="001718D0" w:rsidP="001718D0">
      <w:pPr>
        <w:pStyle w:val="ListParagraph"/>
        <w:numPr>
          <w:ilvl w:val="0"/>
          <w:numId w:val="1"/>
        </w:numPr>
      </w:pPr>
      <w:r>
        <w:t>Du fil/Bobine de ficelle</w:t>
      </w:r>
    </w:p>
    <w:p w14:paraId="30A76916" w14:textId="77777777" w:rsidR="001718D0" w:rsidRPr="00AB7529" w:rsidRDefault="001718D0" w:rsidP="001718D0">
      <w:pPr>
        <w:pStyle w:val="ListParagraph"/>
        <w:numPr>
          <w:ilvl w:val="0"/>
          <w:numId w:val="1"/>
        </w:numPr>
      </w:pPr>
      <w:r>
        <w:t xml:space="preserve">Colle, ciseaux, autocollants, paillettes, images de magazine, autre matériel pour travaux manuels, et matériel de collage pour l’activité de Mandala </w:t>
      </w:r>
    </w:p>
    <w:p w14:paraId="2177303C" w14:textId="77777777" w:rsidR="001718D0" w:rsidRDefault="001718D0" w:rsidP="001718D0">
      <w:pPr>
        <w:pStyle w:val="ListParagraph"/>
        <w:numPr>
          <w:ilvl w:val="0"/>
          <w:numId w:val="1"/>
        </w:numPr>
      </w:pPr>
      <w:r>
        <w:t>Papier épais pour les certificats</w:t>
      </w:r>
    </w:p>
    <w:p w14:paraId="74822CF5" w14:textId="77777777" w:rsidR="001718D0" w:rsidRDefault="001718D0" w:rsidP="001718D0">
      <w:pPr>
        <w:pStyle w:val="ListParagraph"/>
        <w:numPr>
          <w:ilvl w:val="0"/>
          <w:numId w:val="1"/>
        </w:numPr>
      </w:pPr>
      <w:r>
        <w:t>Clés USB pour les participants (contenant les diapositives et documents de formation)</w:t>
      </w:r>
    </w:p>
    <w:p w14:paraId="4103B7ED" w14:textId="77777777" w:rsidR="001718D0" w:rsidRDefault="001718D0" w:rsidP="001718D0">
      <w:pPr>
        <w:pStyle w:val="ListParagraph"/>
        <w:numPr>
          <w:ilvl w:val="0"/>
          <w:numId w:val="1"/>
        </w:numPr>
      </w:pPr>
      <w:r>
        <w:t xml:space="preserve">Bonbons ou petits prix </w:t>
      </w:r>
    </w:p>
    <w:sectPr w:rsidR="001718D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E10CD6" w14:textId="77777777" w:rsidR="002804DD" w:rsidRDefault="002804DD" w:rsidP="009A03A9">
      <w:pPr>
        <w:spacing w:after="0" w:line="240" w:lineRule="auto"/>
      </w:pPr>
      <w:r>
        <w:separator/>
      </w:r>
    </w:p>
  </w:endnote>
  <w:endnote w:type="continuationSeparator" w:id="0">
    <w:p w14:paraId="0B49E34C" w14:textId="77777777" w:rsidR="002804DD" w:rsidRDefault="002804DD" w:rsidP="009A0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97BD5C" w14:textId="77777777" w:rsidR="002804DD" w:rsidRDefault="002804DD" w:rsidP="009A03A9">
      <w:pPr>
        <w:spacing w:after="0" w:line="240" w:lineRule="auto"/>
      </w:pPr>
      <w:r>
        <w:separator/>
      </w:r>
    </w:p>
  </w:footnote>
  <w:footnote w:type="continuationSeparator" w:id="0">
    <w:p w14:paraId="4985E4D1" w14:textId="77777777" w:rsidR="002804DD" w:rsidRDefault="002804DD" w:rsidP="009A03A9">
      <w:pPr>
        <w:spacing w:after="0" w:line="240" w:lineRule="auto"/>
      </w:pPr>
      <w:r>
        <w:continuationSeparator/>
      </w:r>
    </w:p>
  </w:footnote>
  <w:footnote w:id="1">
    <w:p w14:paraId="7DD56022" w14:textId="61043FE9" w:rsidR="001A2FC3" w:rsidRPr="001A2FC3" w:rsidRDefault="001A2FC3" w:rsidP="001A2FC3">
      <w:pPr>
        <w:pStyle w:val="CommentText"/>
      </w:pPr>
      <w:r>
        <w:rPr>
          <w:rStyle w:val="FootnoteReference"/>
        </w:rPr>
        <w:footnoteRef/>
      </w:r>
      <w:r>
        <w:t xml:space="preserve"> Adapté du manuel de formation inter-agences en gestion de cas dans le domaine de la protection de l’enfant pour les travailleurs sociaux, les superviseurs et les responsables (</w:t>
      </w:r>
      <w:hyperlink r:id="rId1" w:history="1">
        <w:r>
          <w:rPr>
            <w:rStyle w:val="Hyperlink"/>
          </w:rPr>
          <w:t>https://resourcecentre.savethechildren.net/library/inter-agency-guidelines-case-management-and-child-protection</w:t>
        </w:r>
      </w:hyperlink>
      <w:r w:rsidRPr="0093133F">
        <w:t>)</w:t>
      </w:r>
    </w:p>
    <w:p w14:paraId="1E5D74D5" w14:textId="7FEE8E48" w:rsidR="001A2FC3" w:rsidRPr="00D804ED" w:rsidRDefault="001A2FC3">
      <w:pPr>
        <w:pStyle w:val="FootnoteText"/>
        <w:rPr>
          <w:lang w:val="fr-CH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6F57A" w14:textId="6D0E699E" w:rsidR="001A2FC3" w:rsidRDefault="001A2FC3">
    <w:pPr>
      <w:pStyle w:val="Header"/>
    </w:pPr>
    <w:r>
      <w:rPr>
        <w:noProof/>
        <w:lang w:val="en-US" w:eastAsia="zh-CN"/>
      </w:rPr>
      <w:drawing>
        <wp:anchor distT="0" distB="0" distL="114300" distR="114300" simplePos="0" relativeHeight="251659264" behindDoc="1" locked="0" layoutInCell="1" allowOverlap="1" wp14:anchorId="5CF6B17B" wp14:editId="3EECFEF6">
          <wp:simplePos x="0" y="0"/>
          <wp:positionH relativeFrom="margin">
            <wp:posOffset>5303520</wp:posOffset>
          </wp:positionH>
          <wp:positionV relativeFrom="paragraph">
            <wp:posOffset>-132715</wp:posOffset>
          </wp:positionV>
          <wp:extent cx="762000" cy="790575"/>
          <wp:effectExtent l="0" t="0" r="0" b="9525"/>
          <wp:wrapTight wrapText="bothSides">
            <wp:wrapPolygon edited="0">
              <wp:start x="0" y="0"/>
              <wp:lineTo x="0" y="21340"/>
              <wp:lineTo x="21060" y="21340"/>
              <wp:lineTo x="21060" y="0"/>
              <wp:lineTo x="0" y="0"/>
            </wp:wrapPolygon>
          </wp:wrapTight>
          <wp:docPr id="134520641" name="pictur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520641" name="pictur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79057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BF6856"/>
    <w:multiLevelType w:val="hybridMultilevel"/>
    <w:tmpl w:val="11A8CA1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CCA"/>
    <w:rsid w:val="00055467"/>
    <w:rsid w:val="001718D0"/>
    <w:rsid w:val="001A2FC3"/>
    <w:rsid w:val="0022517B"/>
    <w:rsid w:val="002663BD"/>
    <w:rsid w:val="002804DD"/>
    <w:rsid w:val="00290739"/>
    <w:rsid w:val="002A028F"/>
    <w:rsid w:val="002C01B4"/>
    <w:rsid w:val="00356E87"/>
    <w:rsid w:val="003F34A1"/>
    <w:rsid w:val="00687BF8"/>
    <w:rsid w:val="007E2414"/>
    <w:rsid w:val="008031E1"/>
    <w:rsid w:val="00827209"/>
    <w:rsid w:val="0089708F"/>
    <w:rsid w:val="008D0E0E"/>
    <w:rsid w:val="0093133F"/>
    <w:rsid w:val="009A03A9"/>
    <w:rsid w:val="009D07AB"/>
    <w:rsid w:val="009F7368"/>
    <w:rsid w:val="00A71D73"/>
    <w:rsid w:val="00A747CF"/>
    <w:rsid w:val="00AB7529"/>
    <w:rsid w:val="00B01D2C"/>
    <w:rsid w:val="00B35853"/>
    <w:rsid w:val="00BF4C89"/>
    <w:rsid w:val="00CA7CCA"/>
    <w:rsid w:val="00D804ED"/>
    <w:rsid w:val="00D82681"/>
    <w:rsid w:val="00DB29D1"/>
    <w:rsid w:val="01F03701"/>
    <w:rsid w:val="65359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B79AD4F"/>
  <w15:docId w15:val="{31865029-58CE-49F6-8D44-587C2F17A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A2FC3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0E0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A03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03A9"/>
  </w:style>
  <w:style w:type="paragraph" w:styleId="Footer">
    <w:name w:val="footer"/>
    <w:basedOn w:val="Normal"/>
    <w:link w:val="FooterChar"/>
    <w:unhideWhenUsed/>
    <w:rsid w:val="009A03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9A03A9"/>
  </w:style>
  <w:style w:type="character" w:styleId="CommentReference">
    <w:name w:val="annotation reference"/>
    <w:basedOn w:val="DefaultParagraphFont"/>
    <w:uiPriority w:val="99"/>
    <w:semiHidden/>
    <w:unhideWhenUsed/>
    <w:rsid w:val="003F34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34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34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34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34A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34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4A1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2FC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2FC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A2FC3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1A2FC3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1A2FC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resourcecentre.savethechildren.net/library/inter-agency-guidelines-case-management-and-child-protectio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Jennifer Parsons</cp:lastModifiedBy>
  <cp:revision>6</cp:revision>
  <cp:lastPrinted>2018-07-16T23:44:00Z</cp:lastPrinted>
  <dcterms:created xsi:type="dcterms:W3CDTF">2018-05-12T09:02:00Z</dcterms:created>
  <dcterms:modified xsi:type="dcterms:W3CDTF">2018-09-18T18:08:00Z</dcterms:modified>
</cp:coreProperties>
</file>